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附表4：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文件盒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标识表样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695"/>
        <w:gridCol w:w="6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（2018）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年度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市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辽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宁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省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*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文件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（序号）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6606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2018年度推荐、申报材料目录</w:t>
            </w:r>
          </w:p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1、纸质推荐文件及附件：*式*份，共**页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2、电子版推荐文件及附件：是否存入光盘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3、省世纪杯人员信息明细汇总表：是否存入光盘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4、优质结构人员信息明细汇总表：是否存入光盘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5、推荐省世纪杯总数：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6、推荐优质结构总数：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7、推荐质量管理优秀企业总数：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8、推荐先进工作者总数：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9、推荐优秀质量检查员总数：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10、非会员企业入会申请表总数：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</w:rPr>
              <w:t>卷内材料（序号）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1、省世纪杯申报材料：1</w:t>
            </w:r>
            <w:r>
              <w:rPr>
                <w:rFonts w:ascii="宋体" w:hAnsi="宋体"/>
                <w:sz w:val="32"/>
                <w:szCs w:val="32"/>
              </w:rPr>
              <w:t>—</w:t>
            </w:r>
            <w:r>
              <w:rPr>
                <w:rFonts w:hint="eastAsia" w:ascii="宋体" w:hAnsi="宋体"/>
                <w:sz w:val="32"/>
                <w:szCs w:val="32"/>
              </w:rPr>
              <w:t>？号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2、优质结构申报材料：1</w:t>
            </w:r>
            <w:r>
              <w:rPr>
                <w:rFonts w:ascii="宋体" w:hAnsi="宋体"/>
                <w:sz w:val="32"/>
                <w:szCs w:val="32"/>
              </w:rPr>
              <w:t>—</w:t>
            </w:r>
            <w:r>
              <w:rPr>
                <w:rFonts w:hint="eastAsia" w:ascii="宋体" w:hAnsi="宋体"/>
                <w:sz w:val="32"/>
                <w:szCs w:val="32"/>
              </w:rPr>
              <w:t>？号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……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报送日期：           年     月     日</w:t>
            </w:r>
          </w:p>
          <w:p>
            <w:pPr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</w:t>
            </w:r>
            <w:r>
              <w:rPr>
                <w:rFonts w:hint="eastAsia" w:ascii="华文行楷" w:hAnsi="宋体" w:eastAsia="华文行楷"/>
                <w:color w:val="FF0000"/>
                <w:szCs w:val="21"/>
              </w:rPr>
              <w:t>此标识栏粘贴在文件盒正面，竖向标识栏粘贴在文件盒左侧面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60A9E"/>
    <w:rsid w:val="20860A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2018-05-29T05:16:00Z</dcterms:created>
  <dc:creator>Administrator</dc:creator>
  <cp:lastModifiedBy>Administrator</cp:lastModifiedBy>
  <dcterms:modified xsi:type="dcterms:W3CDTF">2018-05-29T05:22:35Z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